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54C2" w14:textId="77777777" w:rsidR="00000000" w:rsidRPr="00802AA3" w:rsidRDefault="00000000" w:rsidP="007166AE">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2023-2027</w:t>
      </w:r>
    </w:p>
    <w:p w14:paraId="22C29B7A" w14:textId="77777777" w:rsidR="00000000" w:rsidRPr="006A611D" w:rsidRDefault="00000000" w:rsidP="007166AE">
      <w:pPr>
        <w:pStyle w:val="ESIntroParagraph"/>
        <w:ind w:left="-567" w:right="1697" w:firstLine="1107"/>
        <w:rPr>
          <w:color w:val="595959" w:themeColor="text1" w:themeTint="A6"/>
        </w:rPr>
      </w:pPr>
      <w:r w:rsidRPr="006A611D">
        <w:rPr>
          <w:noProof/>
          <w:color w:val="595959" w:themeColor="text1" w:themeTint="A6"/>
        </w:rPr>
        <w:t>Cohuna Consolidated School (6211)</w:t>
      </w:r>
    </w:p>
    <w:p w14:paraId="1ED35AAF" w14:textId="77777777" w:rsidR="00000000" w:rsidRPr="008766A4" w:rsidRDefault="00000000" w:rsidP="007166AE">
      <w:pPr>
        <w:pStyle w:val="ESIntroParagraph"/>
        <w:ind w:left="-567" w:right="4330"/>
      </w:pPr>
    </w:p>
    <w:p w14:paraId="2D4AAA5E" w14:textId="77777777" w:rsidR="00000000" w:rsidRDefault="00000000" w:rsidP="007166AE">
      <w:pPr>
        <w:pStyle w:val="Heading1"/>
        <w:ind w:left="-567"/>
      </w:pPr>
    </w:p>
    <w:p w14:paraId="247693DE" w14:textId="77777777" w:rsidR="00000000" w:rsidRDefault="00000000" w:rsidP="007166AE">
      <w:pPr>
        <w:pStyle w:val="ESHeading2"/>
      </w:pPr>
    </w:p>
    <w:p w14:paraId="74137C91" w14:textId="77777777" w:rsidR="00000000" w:rsidRDefault="00000000" w:rsidP="007166AE">
      <w:pPr>
        <w:pStyle w:val="ESHeading2"/>
      </w:pPr>
    </w:p>
    <w:p w14:paraId="2A9ECD79" w14:textId="77777777" w:rsidR="00000000" w:rsidRDefault="00000000" w:rsidP="007166AE">
      <w:pPr>
        <w:pStyle w:val="ESHeading2"/>
      </w:pPr>
    </w:p>
    <w:p w14:paraId="293D6C1B" w14:textId="77777777" w:rsidR="00000000" w:rsidRDefault="00000000" w:rsidP="007166AE">
      <w:pPr>
        <w:pStyle w:val="ESHeading2"/>
      </w:pPr>
    </w:p>
    <w:p w14:paraId="346916C9" w14:textId="77777777" w:rsidR="00000000" w:rsidRDefault="00000000" w:rsidP="007166AE">
      <w:pPr>
        <w:pStyle w:val="ESHeading2"/>
      </w:pPr>
    </w:p>
    <w:p w14:paraId="3E9BE1BB" w14:textId="77777777" w:rsidR="00000000" w:rsidRDefault="00000000" w:rsidP="007166AE">
      <w:pPr>
        <w:pStyle w:val="ESHeading2"/>
      </w:pPr>
    </w:p>
    <w:p w14:paraId="7D2F8C0F" w14:textId="77777777" w:rsidR="00000000" w:rsidRPr="00CB0768" w:rsidRDefault="00000000" w:rsidP="007166AE">
      <w:pPr>
        <w:pStyle w:val="ESHeading2"/>
        <w:jc w:val="center"/>
      </w:pPr>
      <w:r>
        <w:rPr>
          <w:b w:val="0"/>
          <w:noProof/>
          <w:sz w:val="44"/>
          <w:szCs w:val="44"/>
        </w:rPr>
        <w:drawing>
          <wp:anchor distT="0" distB="0" distL="114300" distR="114300" simplePos="0" relativeHeight="251658240" behindDoc="1" locked="0" layoutInCell="1" allowOverlap="1" wp14:anchorId="373E6489" wp14:editId="6FA39D54">
            <wp:simplePos x="0" y="0"/>
            <wp:positionH relativeFrom="page">
              <wp:align>center</wp:align>
            </wp:positionH>
            <wp:positionV relativeFrom="paragraph">
              <wp:posOffset>0</wp:posOffset>
            </wp:positionV>
            <wp:extent cx="1270000" cy="977900"/>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1270000" cy="977900"/>
                    </a:xfrm>
                    <a:prstGeom prst="rect">
                      <a:avLst/>
                    </a:prstGeom>
                  </pic:spPr>
                </pic:pic>
              </a:graphicData>
            </a:graphic>
          </wp:anchor>
        </w:drawing>
      </w:r>
    </w:p>
    <w:p w14:paraId="241D2671" w14:textId="77777777" w:rsidR="00000000" w:rsidRDefault="00000000" w:rsidP="007166AE">
      <w:pPr>
        <w:pStyle w:val="ESBodyText"/>
        <w:sectPr w:rsidR="007166AE" w:rsidSect="00E72059">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72D79D3E" wp14:editId="54B84BEF">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2A132B1F" w14:textId="77777777" w:rsidR="00000000" w:rsidRDefault="00000000" w:rsidP="007166AE">
                            <w:pPr>
                              <w:pStyle w:val="ESBodyText"/>
                            </w:pPr>
                            <w:r>
                              <w:rPr>
                                <w:noProof/>
                              </w:rPr>
                              <w:t>Submitted for review by Valerie Lobry (School Principal) on 15 December, 2023 at 11:42 AM</w:t>
                            </w:r>
                            <w:r>
                              <w:rPr>
                                <w:noProof/>
                              </w:rPr>
                              <w:br/>
                              <w:t>Endorsed by Joseph Summerhayes (Senior Education Improvement Leader) on 15 December, 2023 at 11:43 AM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7166AE" w:rsidP="007166AE">
                      <w:pPr>
                        <w:pStyle w:val="ESBodyText"/>
                      </w:pPr>
                      <w:r>
                        <w:rPr>
                          <w:noProof/>
                        </w:rPr>
                        <w:t>Submitted for review by Valerie Lobry (School Principal) on 15 December, 2023 at 11:42 AM</w:t>
                        <w:br/>
                        <w:t>Endorsed by Joseph Summerhayes (Senior Education Improvement Leader) on 15 December, 2023 at 11:43 AM</w:t>
                        <w:br/>
                        <w:t>Awaiting endorsement by School Council President</w:t>
                        <w:br/>
                      </w:r>
                    </w:p>
                  </w:txbxContent>
                </v:textbox>
                <w10:wrap anchorx="margin"/>
                <w10:anchorlock/>
              </v:shape>
            </w:pict>
          </mc:Fallback>
        </mc:AlternateContent>
      </w:r>
    </w:p>
    <w:p w14:paraId="0D5894CC" w14:textId="77777777" w:rsidR="00000000" w:rsidRPr="00802AA3"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2023-2027</w:t>
      </w:r>
    </w:p>
    <w:p w14:paraId="1A50FE20" w14:textId="77777777" w:rsidR="00000000" w:rsidRDefault="00000000" w:rsidP="007166AE">
      <w:pPr>
        <w:pStyle w:val="ESIntroParagraph"/>
        <w:spacing w:after="120"/>
        <w:ind w:left="-539" w:right="-635" w:firstLine="27"/>
        <w:rPr>
          <w:color w:val="595959" w:themeColor="text1" w:themeTint="A6"/>
        </w:rPr>
      </w:pPr>
      <w:r w:rsidRPr="001D751E">
        <w:rPr>
          <w:noProof/>
          <w:color w:val="595959" w:themeColor="text1" w:themeTint="A6"/>
        </w:rPr>
        <w:t>Cohuna Consolidated School (6211)</w:t>
      </w:r>
    </w:p>
    <w:p w14:paraId="3031C4F4" w14:textId="77777777" w:rsidR="00000000" w:rsidRDefault="00000000" w:rsidP="007166AE">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4F6293" w14:paraId="4EF7C4B4" w14:textId="77777777" w:rsidTr="009B10A5">
        <w:trPr>
          <w:trHeight w:val="110"/>
        </w:trPr>
        <w:tc>
          <w:tcPr>
            <w:tcW w:w="3119" w:type="dxa"/>
            <w:shd w:val="clear" w:color="auto" w:fill="D9D9D9" w:themeFill="background1" w:themeFillShade="D9"/>
          </w:tcPr>
          <w:p w14:paraId="005D8861" w14:textId="77777777" w:rsidR="00000000" w:rsidRPr="001D6EDC" w:rsidRDefault="00000000" w:rsidP="009B10A5">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1F45AC82" w14:textId="77777777" w:rsidR="00000000" w:rsidRPr="004365C8" w:rsidRDefault="00000000" w:rsidP="009B10A5">
            <w:pPr>
              <w:pStyle w:val="ESBodyText"/>
              <w:spacing w:after="0"/>
              <w:rPr>
                <w:color w:val="FFFFFF" w:themeColor="background1"/>
                <w:sz w:val="20"/>
                <w:szCs w:val="24"/>
              </w:rPr>
            </w:pPr>
            <w:r>
              <w:rPr>
                <w:sz w:val="20"/>
              </w:rPr>
              <w:t>To empower students to acquire, demonstrate, articulate and value knowledge and skills that will support them as life-long learners. This will assist them to participate in and contribute to the global world and practice the core values of the school.</w:t>
            </w:r>
          </w:p>
        </w:tc>
      </w:tr>
      <w:tr w:rsidR="004F6293" w14:paraId="2DFC527C" w14:textId="77777777" w:rsidTr="009B10A5">
        <w:trPr>
          <w:trHeight w:val="15"/>
        </w:trPr>
        <w:tc>
          <w:tcPr>
            <w:tcW w:w="3119" w:type="dxa"/>
            <w:shd w:val="clear" w:color="auto" w:fill="D9D9D9" w:themeFill="background1" w:themeFillShade="D9"/>
          </w:tcPr>
          <w:p w14:paraId="12420E93" w14:textId="77777777" w:rsidR="00000000" w:rsidRPr="001D6EDC" w:rsidRDefault="00000000" w:rsidP="009B10A5">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0B35E76F" w14:textId="77777777" w:rsidR="00000000" w:rsidRPr="00FE3D5C" w:rsidRDefault="00000000" w:rsidP="009B10A5">
            <w:pPr>
              <w:pStyle w:val="ESBodyText"/>
              <w:spacing w:after="0"/>
              <w:rPr>
                <w:sz w:val="20"/>
                <w:szCs w:val="24"/>
              </w:rPr>
            </w:pPr>
            <w:r>
              <w:rPr>
                <w:sz w:val="20"/>
              </w:rPr>
              <w:t xml:space="preserve">Cohuna Consolidated School’s Statement of Values and School Philosophy is integral to the work that we do and is the foundation of our school community. Students, staff and members of our school community are encouraged to live and demonstrate our core values – </w:t>
            </w:r>
            <w:r>
              <w:rPr>
                <w:sz w:val="20"/>
              </w:rPr>
              <w:br/>
              <w:t>Caring: Caring for ourselves, others &amp; the environment</w:t>
            </w:r>
            <w:r>
              <w:rPr>
                <w:sz w:val="20"/>
              </w:rPr>
              <w:br/>
              <w:t>Commitment: Commitment to learning</w:t>
            </w:r>
            <w:r>
              <w:rPr>
                <w:sz w:val="20"/>
              </w:rPr>
              <w:br/>
              <w:t>Success: Success for the future</w:t>
            </w:r>
          </w:p>
        </w:tc>
      </w:tr>
      <w:tr w:rsidR="004F6293" w14:paraId="5E0B9775" w14:textId="77777777" w:rsidTr="009B10A5">
        <w:trPr>
          <w:trHeight w:val="15"/>
        </w:trPr>
        <w:tc>
          <w:tcPr>
            <w:tcW w:w="3119" w:type="dxa"/>
            <w:shd w:val="clear" w:color="auto" w:fill="D9D9D9" w:themeFill="background1" w:themeFillShade="D9"/>
          </w:tcPr>
          <w:p w14:paraId="43F52BA0" w14:textId="77777777" w:rsidR="00000000" w:rsidRPr="001D6EDC" w:rsidRDefault="00000000" w:rsidP="009B10A5">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2F976507" w14:textId="77777777" w:rsidR="00000000" w:rsidRPr="00FE3D5C" w:rsidRDefault="00000000" w:rsidP="009B10A5">
            <w:pPr>
              <w:pStyle w:val="ESBodyText"/>
              <w:spacing w:after="0"/>
              <w:rPr>
                <w:sz w:val="20"/>
                <w:szCs w:val="24"/>
              </w:rPr>
            </w:pPr>
            <w:r>
              <w:rPr>
                <w:sz w:val="20"/>
              </w:rPr>
              <w:t>Current context:</w:t>
            </w:r>
            <w:r>
              <w:rPr>
                <w:sz w:val="20"/>
              </w:rPr>
              <w:br/>
              <w:t xml:space="preserve">Location and history: Cohuna Consolidated School is located in the Gannawarra Shire approximately 300 kilometres from the Melbourne Central Business District. </w:t>
            </w:r>
            <w:r>
              <w:rPr>
                <w:sz w:val="20"/>
              </w:rPr>
              <w:br/>
              <w:t>The school was established in 1948 with children and buildings from Daltons Bridge, McMillan’s, Cohuna Estate, Gannawarra, Horfield and Burkes Bridge. Milnes Bridge School pupils also joined Cohuna Consolidated School in 1955 and Mead School pupils joined in 1992.</w:t>
            </w:r>
            <w:r>
              <w:rPr>
                <w:sz w:val="20"/>
              </w:rPr>
              <w:br/>
              <w:t>The school started at the King George Street site and moved to its current site after a new building was completed in 1978.</w:t>
            </w:r>
            <w:r>
              <w:rPr>
                <w:sz w:val="20"/>
              </w:rPr>
              <w:br/>
              <w:t>School facilities: The school facilities include one main building with central open spaces, an indoor Multi-purpose Room, Art Room, Music Room and Library. The grounds include two separate adventure playgrounds, one undercover basketball court, two netball courts and an oval.</w:t>
            </w:r>
            <w:r>
              <w:rPr>
                <w:sz w:val="20"/>
              </w:rPr>
              <w:br/>
              <w:t xml:space="preserve">Enrolments: Enrolments at the time of the review was 150 students. Over the past four years, enrolments increased by 20 students due to new families moving into the area or families returning to Cohuna after the Covid years. The school has a small but growing proportion of students with English as an additional language. </w:t>
            </w:r>
            <w:r>
              <w:rPr>
                <w:sz w:val="20"/>
              </w:rPr>
              <w:br/>
              <w:t xml:space="preserve">SFO and SFOE: The Student Family Occupation Student Family Occupation Education (SFOE) index was 0.4034 in 2023 and the Student Family occupation (SFO) index was medium. </w:t>
            </w:r>
            <w:r>
              <w:rPr>
                <w:sz w:val="20"/>
              </w:rPr>
              <w:br/>
              <w:t xml:space="preserve">Staff Profile: the school employs 10 Teachers (EFT 8.5), one Tutor (0.2), 6 ES staff (EFT 4.8)  and one Principal. </w:t>
            </w:r>
            <w:r>
              <w:rPr>
                <w:sz w:val="20"/>
              </w:rPr>
              <w:br/>
              <w:t>Curriculum: The school provides an approved curriculum based on the Victorian Curriculum which is differentiated to meet student needs as per the Cohuna Consolidated School Curriculum Framework Policy. Cohuna Consolidated School caters to a diverse student population by offering an extensive Specialist program (Physical Education, Art, Music, ICT and French).</w:t>
            </w:r>
            <w:r>
              <w:rPr>
                <w:sz w:val="20"/>
              </w:rPr>
              <w:br/>
              <w:t xml:space="preserve">The school accesses specialist services from Swan Hill including a Psychologist, Speech Pathologist, Social Worker and Visiting Teacher (SSS). The school also employs an Art Therapist (new in 2023) and provides access for other Allied health professionals as </w:t>
            </w:r>
            <w:r>
              <w:rPr>
                <w:sz w:val="20"/>
              </w:rPr>
              <w:lastRenderedPageBreak/>
              <w:t>required (OTs, physio and speech therapist).</w:t>
            </w:r>
            <w:r>
              <w:rPr>
                <w:sz w:val="20"/>
              </w:rPr>
              <w:br/>
              <w:t xml:space="preserve">A vast program of camps and extra-curricular activities is also well established. </w:t>
            </w:r>
            <w:r>
              <w:rPr>
                <w:sz w:val="20"/>
              </w:rPr>
              <w:br/>
              <w:t>Community Engagement: the school benefits greatly from a very supportive Parent's Club and School Council, with additional volunteers where possible.</w:t>
            </w:r>
            <w:r>
              <w:rPr>
                <w:sz w:val="20"/>
              </w:rPr>
              <w:br/>
              <w:t>Key Challenges:</w:t>
            </w:r>
            <w:r>
              <w:rPr>
                <w:sz w:val="20"/>
              </w:rPr>
              <w:br/>
              <w:t>- To provide structures and processes to strengthen teacher collaboration and collective efficacy</w:t>
            </w:r>
            <w:r>
              <w:rPr>
                <w:sz w:val="20"/>
              </w:rPr>
              <w:br/>
              <w:t>- To develop an agreed and consistently implemented instructional model</w:t>
            </w:r>
            <w:r>
              <w:rPr>
                <w:sz w:val="20"/>
              </w:rPr>
              <w:br/>
              <w:t>- To embed evidence-informed curriculum planning</w:t>
            </w:r>
            <w:r>
              <w:rPr>
                <w:sz w:val="20"/>
              </w:rPr>
              <w:br/>
              <w:t xml:space="preserve">- To embed High Impact Teaching Strategies in teaching practice. </w:t>
            </w:r>
            <w:r>
              <w:rPr>
                <w:sz w:val="20"/>
              </w:rPr>
              <w:br/>
              <w:t>- To create structures for regular feedback for staff and students</w:t>
            </w:r>
            <w:r>
              <w:rPr>
                <w:sz w:val="20"/>
              </w:rPr>
              <w:br/>
            </w:r>
            <w:r>
              <w:rPr>
                <w:sz w:val="20"/>
              </w:rPr>
              <w:br/>
            </w:r>
          </w:p>
        </w:tc>
      </w:tr>
      <w:tr w:rsidR="004F6293" w14:paraId="1BBE10DF" w14:textId="77777777" w:rsidTr="009B10A5">
        <w:trPr>
          <w:trHeight w:val="15"/>
        </w:trPr>
        <w:tc>
          <w:tcPr>
            <w:tcW w:w="3119" w:type="dxa"/>
            <w:shd w:val="clear" w:color="auto" w:fill="D9D9D9" w:themeFill="background1" w:themeFillShade="D9"/>
          </w:tcPr>
          <w:p w14:paraId="7DBE3C24" w14:textId="77777777" w:rsidR="00000000" w:rsidRPr="001D6EDC" w:rsidRDefault="00000000" w:rsidP="009B10A5">
            <w:pPr>
              <w:pStyle w:val="Heading3"/>
              <w:spacing w:before="0" w:after="0"/>
              <w:rPr>
                <w:sz w:val="22"/>
                <w:szCs w:val="22"/>
              </w:rPr>
            </w:pPr>
            <w:r w:rsidRPr="005206F9">
              <w:rPr>
                <w:sz w:val="22"/>
                <w:szCs w:val="22"/>
              </w:rPr>
              <w:lastRenderedPageBreak/>
              <w:t>Intent, rationale and focus</w:t>
            </w:r>
          </w:p>
        </w:tc>
        <w:tc>
          <w:tcPr>
            <w:tcW w:w="11996" w:type="dxa"/>
            <w:shd w:val="clear" w:color="auto" w:fill="FFFFFF" w:themeFill="background1"/>
          </w:tcPr>
          <w:p w14:paraId="06162CB7" w14:textId="77777777" w:rsidR="00000000" w:rsidRPr="00FE3D5C" w:rsidRDefault="00000000" w:rsidP="009B10A5">
            <w:pPr>
              <w:pStyle w:val="ESBodyText"/>
              <w:spacing w:after="0"/>
              <w:rPr>
                <w:sz w:val="20"/>
                <w:szCs w:val="24"/>
              </w:rPr>
            </w:pPr>
            <w:r>
              <w:rPr>
                <w:sz w:val="20"/>
              </w:rPr>
              <w:t>Goal 1 Rationale: the panel agreed that the school had a range of strategies and approaches in place to support students’ learning and achievement. It heard that teachers collected and used data in their curriculum planning, but this remained an area that could be strengthened. Curriculum planning and delivery also remained areas for improvement, with teacher collaboration and sharing of resources, observations and feedback on practice, and a guaranteed, coherent Foundation to Year 6 learning journey for students still developing.</w:t>
            </w:r>
            <w:r>
              <w:rPr>
                <w:sz w:val="20"/>
              </w:rPr>
              <w:br/>
            </w:r>
            <w:r>
              <w:rPr>
                <w:sz w:val="20"/>
              </w:rPr>
              <w:br/>
              <w:t>Goal 2 Rationale: the panel agreed that the school had a range of strategies, programs and approaches in place to support students’ wellbeing and engagement. The panel recommended that the school could further strengthen its wellbeing practices by ensuring there was clarity around how the available tiered supports meshed within a whole school plan, and also maximise students’ agency through increased cognitive engagement and opportunities to demonstrate their learning in real-world contexts.</w:t>
            </w:r>
            <w:r>
              <w:rPr>
                <w:sz w:val="20"/>
              </w:rPr>
              <w:br/>
            </w:r>
            <w:r>
              <w:rPr>
                <w:sz w:val="20"/>
              </w:rPr>
              <w:br/>
            </w:r>
          </w:p>
        </w:tc>
      </w:tr>
    </w:tbl>
    <w:p w14:paraId="6599EAD0" w14:textId="77777777" w:rsidR="00000000" w:rsidRDefault="00000000" w:rsidP="007166AE">
      <w:pPr>
        <w:pStyle w:val="ESIntroParagraph"/>
        <w:ind w:left="-567" w:right="1708" w:firstLine="27"/>
        <w:rPr>
          <w:color w:val="595959" w:themeColor="text1" w:themeTint="A6"/>
        </w:rPr>
      </w:pPr>
    </w:p>
    <w:p w14:paraId="5CD2296B" w14:textId="77777777" w:rsidR="00000000" w:rsidRDefault="00000000" w:rsidP="007166AE">
      <w:pPr>
        <w:pStyle w:val="ESIntroParagraph"/>
        <w:ind w:left="-567" w:right="1708" w:firstLine="27"/>
        <w:rPr>
          <w:color w:val="595959" w:themeColor="text1" w:themeTint="A6"/>
        </w:rPr>
      </w:pPr>
    </w:p>
    <w:p w14:paraId="058BD161" w14:textId="77777777" w:rsidR="00000000" w:rsidRDefault="00000000" w:rsidP="007166AE">
      <w:pPr>
        <w:pStyle w:val="ESIntroParagraph"/>
        <w:ind w:left="-567" w:right="1708" w:firstLine="27"/>
        <w:rPr>
          <w:color w:val="595959" w:themeColor="text1" w:themeTint="A6"/>
          <w:sz w:val="24"/>
          <w:szCs w:val="24"/>
        </w:rPr>
      </w:pPr>
    </w:p>
    <w:p w14:paraId="5FEC321B" w14:textId="77777777" w:rsidR="00000000" w:rsidRDefault="00000000" w:rsidP="007166AE">
      <w:pPr>
        <w:pStyle w:val="ESIntroParagraph"/>
        <w:ind w:left="-567" w:right="1708" w:firstLine="27"/>
        <w:rPr>
          <w:color w:val="595959" w:themeColor="text1" w:themeTint="A6"/>
          <w:sz w:val="24"/>
          <w:szCs w:val="24"/>
        </w:rPr>
      </w:pPr>
    </w:p>
    <w:p w14:paraId="034B14AC" w14:textId="77777777" w:rsidR="00000000" w:rsidRPr="00722E21" w:rsidRDefault="00000000" w:rsidP="007166AE">
      <w:pPr>
        <w:pStyle w:val="ESIntroParagraph"/>
        <w:ind w:left="-567" w:right="1708" w:firstLine="27"/>
        <w:rPr>
          <w:color w:val="595959" w:themeColor="text1" w:themeTint="A6"/>
          <w:sz w:val="20"/>
          <w:szCs w:val="20"/>
        </w:rPr>
      </w:pPr>
    </w:p>
    <w:p w14:paraId="7264BC4F" w14:textId="77777777" w:rsidR="00000000" w:rsidRPr="00B13A07" w:rsidRDefault="00000000" w:rsidP="007166AE">
      <w:pPr>
        <w:pStyle w:val="ESIntroParagraph"/>
        <w:ind w:right="1708"/>
        <w:rPr>
          <w:color w:val="595959" w:themeColor="text1" w:themeTint="A6"/>
        </w:rPr>
        <w:sectPr w:rsidR="007166AE" w:rsidRPr="00B13A07" w:rsidSect="00E72059">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1D991AE4" w14:textId="77777777" w:rsidR="00000000"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2023-2027</w:t>
      </w:r>
    </w:p>
    <w:p w14:paraId="15A94E82" w14:textId="77777777" w:rsidR="00000000" w:rsidRDefault="00000000" w:rsidP="007166AE">
      <w:pPr>
        <w:ind w:left="-540" w:right="-632"/>
        <w:rPr>
          <w:color w:val="595959" w:themeColor="text1" w:themeTint="A6"/>
          <w:sz w:val="28"/>
          <w:szCs w:val="28"/>
        </w:rPr>
      </w:pPr>
      <w:r w:rsidRPr="00FA10DB">
        <w:rPr>
          <w:noProof/>
          <w:color w:val="595959" w:themeColor="text1" w:themeTint="A6"/>
          <w:sz w:val="28"/>
          <w:szCs w:val="28"/>
        </w:rPr>
        <w:t>Cohuna Consolidated School (6211)</w:t>
      </w:r>
    </w:p>
    <w:p w14:paraId="1B35951D" w14:textId="77777777" w:rsidR="00000000" w:rsidRDefault="00000000" w:rsidP="007166AE">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4F6293" w14:paraId="508A0F85" w14:textId="77777777" w:rsidTr="009B10A5">
        <w:trPr>
          <w:trHeight w:val="15"/>
        </w:trPr>
        <w:tc>
          <w:tcPr>
            <w:tcW w:w="4055" w:type="dxa"/>
            <w:shd w:val="clear" w:color="auto" w:fill="D9D9D9" w:themeFill="background1" w:themeFillShade="D9"/>
          </w:tcPr>
          <w:p w14:paraId="71A642BD" w14:textId="77777777" w:rsidR="00000000" w:rsidRPr="001C2589" w:rsidRDefault="00000000" w:rsidP="009B10A5">
            <w:pPr>
              <w:pStyle w:val="Heading3"/>
              <w:spacing w:before="0" w:after="0"/>
              <w:rPr>
                <w:sz w:val="24"/>
                <w:szCs w:val="24"/>
              </w:rPr>
            </w:pPr>
            <w:r w:rsidRPr="001C2589">
              <w:rPr>
                <w:sz w:val="24"/>
                <w:szCs w:val="24"/>
              </w:rPr>
              <w:t>Goal 1</w:t>
            </w:r>
          </w:p>
        </w:tc>
        <w:tc>
          <w:tcPr>
            <w:tcW w:w="11060" w:type="dxa"/>
            <w:shd w:val="clear" w:color="auto" w:fill="FFFFFF" w:themeFill="background1"/>
          </w:tcPr>
          <w:p w14:paraId="125B3843" w14:textId="77777777" w:rsidR="00000000" w:rsidRDefault="00000000" w:rsidP="009B10A5">
            <w:pPr>
              <w:pStyle w:val="ESBodyText"/>
              <w:spacing w:after="0"/>
              <w:rPr>
                <w:sz w:val="20"/>
                <w:szCs w:val="24"/>
              </w:rPr>
            </w:pPr>
            <w:r>
              <w:rPr>
                <w:sz w:val="20"/>
                <w:szCs w:val="24"/>
              </w:rPr>
              <w:t>To maximise students' learning growth and achievement.</w:t>
            </w:r>
          </w:p>
        </w:tc>
      </w:tr>
      <w:tr w:rsidR="004F6293" w14:paraId="6F0E07CF" w14:textId="77777777" w:rsidTr="009B10A5">
        <w:trPr>
          <w:trHeight w:val="15"/>
        </w:trPr>
        <w:tc>
          <w:tcPr>
            <w:tcW w:w="4055" w:type="dxa"/>
            <w:shd w:val="clear" w:color="auto" w:fill="D9D9D9" w:themeFill="background1" w:themeFillShade="D9"/>
          </w:tcPr>
          <w:p w14:paraId="5B824F76" w14:textId="77777777" w:rsidR="00000000" w:rsidRDefault="00000000" w:rsidP="009B10A5">
            <w:pPr>
              <w:pStyle w:val="Heading3"/>
              <w:spacing w:before="0" w:after="0"/>
              <w:rPr>
                <w:szCs w:val="20"/>
              </w:rPr>
            </w:pPr>
            <w:r>
              <w:rPr>
                <w:szCs w:val="20"/>
              </w:rPr>
              <w:t>Target 1.1</w:t>
            </w:r>
          </w:p>
        </w:tc>
        <w:tc>
          <w:tcPr>
            <w:tcW w:w="11060" w:type="dxa"/>
            <w:shd w:val="clear" w:color="auto" w:fill="FFFFFF" w:themeFill="background1"/>
          </w:tcPr>
          <w:p w14:paraId="312F3C28" w14:textId="77777777" w:rsidR="004F6293"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Judgements (Growth)</w:t>
            </w:r>
          </w:p>
          <w:p w14:paraId="7C239FA5" w14:textId="77777777" w:rsidR="004F6293"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increase the percentage of students (Years 1 to 6) making the expected, or above expected learning growth over a twelve-month period in:</w:t>
            </w:r>
          </w:p>
          <w:p w14:paraId="7DB08A54" w14:textId="77777777" w:rsidR="004F6293" w:rsidRDefault="00000000">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and Viewing from 77.5 percent (S2 2022) to at or above 85 percent</w:t>
            </w:r>
          </w:p>
          <w:p w14:paraId="78B7AF6C" w14:textId="77777777" w:rsidR="004F6293" w:rsidRDefault="00000000">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from 75 percent (S2 2022) to at or above 85 percent</w:t>
            </w:r>
          </w:p>
          <w:p w14:paraId="39D1CCA1" w14:textId="77777777" w:rsidR="004F6293" w:rsidRDefault="00000000">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Number and Algebra from 78 percent (S2 2022) to at or above 85 percent</w:t>
            </w:r>
          </w:p>
          <w:p w14:paraId="40A402D9" w14:textId="77777777" w:rsidR="004F6293" w:rsidRDefault="004F6293"/>
        </w:tc>
      </w:tr>
      <w:tr w:rsidR="004F6293" w14:paraId="0932644E" w14:textId="77777777" w:rsidTr="009B10A5">
        <w:trPr>
          <w:trHeight w:val="15"/>
        </w:trPr>
        <w:tc>
          <w:tcPr>
            <w:tcW w:w="4055" w:type="dxa"/>
            <w:shd w:val="clear" w:color="auto" w:fill="D9D9D9" w:themeFill="background1" w:themeFillShade="D9"/>
          </w:tcPr>
          <w:p w14:paraId="084E8D42" w14:textId="77777777" w:rsidR="00000000" w:rsidRDefault="00000000" w:rsidP="009B10A5">
            <w:pPr>
              <w:pStyle w:val="Heading3"/>
              <w:spacing w:before="0" w:after="0"/>
              <w:rPr>
                <w:szCs w:val="20"/>
              </w:rPr>
            </w:pPr>
            <w:r>
              <w:rPr>
                <w:szCs w:val="20"/>
              </w:rPr>
              <w:t>Target 1.2</w:t>
            </w:r>
          </w:p>
        </w:tc>
        <w:tc>
          <w:tcPr>
            <w:tcW w:w="11060" w:type="dxa"/>
            <w:shd w:val="clear" w:color="auto" w:fill="FFFFFF" w:themeFill="background1"/>
          </w:tcPr>
          <w:p w14:paraId="488DD699" w14:textId="77777777" w:rsidR="004F6293"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NAPLAN Proficiency Levels</w:t>
            </w:r>
          </w:p>
          <w:p w14:paraId="046E7936" w14:textId="77777777" w:rsidR="004F6293"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increase the percentage of students achieving in the Exceeding proficiency level in NAPLAN for:</w:t>
            </w:r>
          </w:p>
          <w:p w14:paraId="1D2CC6FD" w14:textId="77777777" w:rsidR="004F6293" w:rsidRDefault="00000000">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Year 3 Reading from 14 percent (2023) to 20 percent</w:t>
            </w:r>
          </w:p>
          <w:p w14:paraId="59DA9E7E" w14:textId="77777777" w:rsidR="004F6293" w:rsidRDefault="00000000">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Year 5 Reading from16 percent (2023) to 20 percent</w:t>
            </w:r>
          </w:p>
          <w:p w14:paraId="32FF25A9" w14:textId="77777777" w:rsidR="004F6293" w:rsidRDefault="00000000">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Year 3 Numeracy from 5 percent (2023) to 20 percent</w:t>
            </w:r>
          </w:p>
          <w:p w14:paraId="01548EBA" w14:textId="77777777" w:rsidR="004F6293" w:rsidRDefault="00000000">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Year 5 Numeracy from10 percent (2023) to 20 percent</w:t>
            </w:r>
          </w:p>
          <w:p w14:paraId="23F4303E" w14:textId="77777777" w:rsidR="004F6293"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target may require revision once NAPLAN trend data in the Proficiency Levels becomes available.</w:t>
            </w:r>
          </w:p>
          <w:p w14:paraId="69EB769D" w14:textId="77777777" w:rsidR="004F6293" w:rsidRDefault="004F6293"/>
        </w:tc>
      </w:tr>
      <w:tr w:rsidR="004F6293" w14:paraId="087E6150" w14:textId="77777777" w:rsidTr="009B10A5">
        <w:trPr>
          <w:trHeight w:val="15"/>
        </w:trPr>
        <w:tc>
          <w:tcPr>
            <w:tcW w:w="4055" w:type="dxa"/>
            <w:shd w:val="clear" w:color="auto" w:fill="D9D9D9" w:themeFill="background1" w:themeFillShade="D9"/>
          </w:tcPr>
          <w:p w14:paraId="6D3EB87C" w14:textId="77777777" w:rsidR="00000000" w:rsidRDefault="00000000" w:rsidP="009B10A5">
            <w:pPr>
              <w:pStyle w:val="Heading3"/>
              <w:spacing w:before="0" w:after="0"/>
              <w:rPr>
                <w:szCs w:val="20"/>
              </w:rPr>
            </w:pPr>
            <w:r>
              <w:rPr>
                <w:szCs w:val="20"/>
              </w:rPr>
              <w:t>Target 1.3</w:t>
            </w:r>
          </w:p>
        </w:tc>
        <w:tc>
          <w:tcPr>
            <w:tcW w:w="11060" w:type="dxa"/>
            <w:shd w:val="clear" w:color="auto" w:fill="FFFFFF" w:themeFill="background1"/>
          </w:tcPr>
          <w:p w14:paraId="1A385713" w14:textId="77777777" w:rsidR="004F6293"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Staff Survey</w:t>
            </w:r>
          </w:p>
          <w:p w14:paraId="7E712846" w14:textId="77777777" w:rsidR="004F6293"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2027, increase the levels of positive endorsement for the following factors:</w:t>
            </w:r>
          </w:p>
          <w:p w14:paraId="5623045B" w14:textId="77777777" w:rsidR="004F6293" w:rsidRDefault="00000000">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Staff trust in colleagues from 56 percent (2023) to at least 75 percent</w:t>
            </w:r>
          </w:p>
          <w:p w14:paraId="186B0BE0" w14:textId="77777777" w:rsidR="004F6293" w:rsidRDefault="00000000">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collaboration from 70 percent (2023) to at least 80 percent</w:t>
            </w:r>
          </w:p>
          <w:p w14:paraId="5DB34AAB" w14:textId="77777777" w:rsidR="004F6293" w:rsidRDefault="00000000">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Guaranteed and viable curriculum from 75 percent (2023) to at least 85 percent</w:t>
            </w:r>
          </w:p>
          <w:p w14:paraId="42446819" w14:textId="77777777" w:rsidR="004F6293" w:rsidRDefault="00000000">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responsibility from 78 percent (2023) to at least 85 percent</w:t>
            </w:r>
          </w:p>
          <w:p w14:paraId="555A6916" w14:textId="77777777" w:rsidR="004F6293" w:rsidRDefault="004F6293"/>
        </w:tc>
      </w:tr>
      <w:tr w:rsidR="004F6293" w14:paraId="612A5C3C" w14:textId="77777777" w:rsidTr="009B10A5">
        <w:trPr>
          <w:trHeight w:val="15"/>
        </w:trPr>
        <w:tc>
          <w:tcPr>
            <w:tcW w:w="4055" w:type="dxa"/>
            <w:shd w:val="clear" w:color="auto" w:fill="58BFBD"/>
          </w:tcPr>
          <w:p w14:paraId="7367F840" w14:textId="77777777" w:rsidR="00000000" w:rsidRDefault="00000000" w:rsidP="009B10A5">
            <w:pPr>
              <w:pStyle w:val="Heading3"/>
              <w:spacing w:before="0" w:after="0"/>
              <w:rPr>
                <w:szCs w:val="20"/>
              </w:rPr>
            </w:pPr>
            <w:r>
              <w:rPr>
                <w:szCs w:val="20"/>
              </w:rPr>
              <w:lastRenderedPageBreak/>
              <w:t>Key Improvement Strategy 1.a</w:t>
            </w:r>
          </w:p>
          <w:p w14:paraId="76ABA64F" w14:textId="77777777" w:rsidR="004F6293" w:rsidRDefault="00000000">
            <w:r>
              <w:rPr>
                <w:sz w:val="20"/>
              </w:rPr>
              <w:t xml:space="preserve">Documented teaching and learning program based on the Victorian Curriculum and senior secondary pathways, incorporating extra-curricula programs </w:t>
            </w:r>
          </w:p>
        </w:tc>
        <w:tc>
          <w:tcPr>
            <w:tcW w:w="11060" w:type="dxa"/>
            <w:vMerge w:val="restart"/>
            <w:shd w:val="clear" w:color="auto" w:fill="FFFFFF" w:themeFill="background1"/>
          </w:tcPr>
          <w:p w14:paraId="321816AB" w14:textId="77777777" w:rsidR="00000000" w:rsidRPr="00FE3D5C" w:rsidRDefault="00000000" w:rsidP="009B10A5">
            <w:pPr>
              <w:pStyle w:val="ESBodyText"/>
              <w:spacing w:after="0"/>
              <w:rPr>
                <w:sz w:val="20"/>
                <w:szCs w:val="24"/>
              </w:rPr>
            </w:pPr>
            <w:r>
              <w:rPr>
                <w:sz w:val="20"/>
              </w:rPr>
              <w:t>Build all teachers’ capability to implement an agreed, evidence-based instructional model, with a focus on the High Impact Teaching Strategies.</w:t>
            </w:r>
          </w:p>
        </w:tc>
      </w:tr>
      <w:tr w:rsidR="004F6293" w14:paraId="7F8CF200" w14:textId="77777777" w:rsidTr="009B10A5">
        <w:trPr>
          <w:trHeight w:val="15"/>
        </w:trPr>
        <w:tc>
          <w:tcPr>
            <w:tcW w:w="4055" w:type="dxa"/>
            <w:shd w:val="clear" w:color="auto" w:fill="58BFBD"/>
          </w:tcPr>
          <w:p w14:paraId="312159E4" w14:textId="77777777" w:rsidR="00000000" w:rsidRDefault="00000000" w:rsidP="009B10A5">
            <w:pPr>
              <w:pStyle w:val="Heading3"/>
              <w:spacing w:before="0" w:after="0"/>
              <w:rPr>
                <w:szCs w:val="20"/>
              </w:rPr>
            </w:pPr>
            <w:r>
              <w:rPr>
                <w:szCs w:val="20"/>
              </w:rPr>
              <w:t>Key Improvement Strategy 1.b</w:t>
            </w:r>
          </w:p>
          <w:p w14:paraId="67824F7A" w14:textId="77777777" w:rsidR="004F6293" w:rsidRDefault="00000000">
            <w:r>
              <w:rPr>
                <w:sz w:val="20"/>
              </w:rPr>
              <w:t xml:space="preserve">Documented teaching and learning program based on the Victorian Curriculum and senior secondary pathways, incorporating extra-curricula programs </w:t>
            </w:r>
          </w:p>
        </w:tc>
        <w:tc>
          <w:tcPr>
            <w:tcW w:w="11060" w:type="dxa"/>
            <w:vMerge w:val="restart"/>
            <w:shd w:val="clear" w:color="auto" w:fill="FFFFFF" w:themeFill="background1"/>
          </w:tcPr>
          <w:p w14:paraId="0D2FD862" w14:textId="77777777" w:rsidR="00000000" w:rsidRPr="00FE3D5C" w:rsidRDefault="00000000" w:rsidP="009B10A5">
            <w:pPr>
              <w:pStyle w:val="ESBodyText"/>
              <w:spacing w:after="0"/>
              <w:rPr>
                <w:sz w:val="20"/>
                <w:szCs w:val="24"/>
              </w:rPr>
            </w:pPr>
            <w:r>
              <w:rPr>
                <w:sz w:val="20"/>
              </w:rPr>
              <w:t>Using best practice, design, document and deliver a data-informed, guaranteed curriculum program.</w:t>
            </w:r>
          </w:p>
        </w:tc>
      </w:tr>
      <w:tr w:rsidR="004F6293" w14:paraId="2739A4F1" w14:textId="77777777" w:rsidTr="009B10A5">
        <w:trPr>
          <w:trHeight w:val="15"/>
        </w:trPr>
        <w:tc>
          <w:tcPr>
            <w:tcW w:w="4055" w:type="dxa"/>
            <w:shd w:val="clear" w:color="auto" w:fill="57B5E7"/>
          </w:tcPr>
          <w:p w14:paraId="5D2CF85D" w14:textId="77777777" w:rsidR="00000000" w:rsidRDefault="00000000" w:rsidP="009B10A5">
            <w:pPr>
              <w:pStyle w:val="Heading3"/>
              <w:spacing w:before="0" w:after="0"/>
              <w:rPr>
                <w:szCs w:val="20"/>
              </w:rPr>
            </w:pPr>
            <w:r>
              <w:rPr>
                <w:szCs w:val="20"/>
              </w:rPr>
              <w:t>Key Improvement Strategy 1.b</w:t>
            </w:r>
          </w:p>
          <w:p w14:paraId="2140E61F" w14:textId="77777777" w:rsidR="004F6293" w:rsidRDefault="00000000">
            <w:r>
              <w:rPr>
                <w:sz w:val="20"/>
              </w:rPr>
              <w:t xml:space="preserve">Systematic use of assessment strategies and measurement practices to obtain and provide feedback on student learning growth, attainment and wellbeing capabilities </w:t>
            </w:r>
          </w:p>
        </w:tc>
        <w:tc>
          <w:tcPr>
            <w:tcW w:w="11060" w:type="dxa"/>
            <w:vMerge/>
            <w:shd w:val="clear" w:color="auto" w:fill="FFFFFF" w:themeFill="background1"/>
          </w:tcPr>
          <w:p w14:paraId="51C90109" w14:textId="77777777" w:rsidR="00000000" w:rsidRPr="00FE3D5C" w:rsidRDefault="00000000" w:rsidP="009B10A5">
            <w:pPr>
              <w:pStyle w:val="ESBodyText"/>
              <w:spacing w:after="0"/>
              <w:rPr>
                <w:sz w:val="20"/>
                <w:szCs w:val="24"/>
              </w:rPr>
            </w:pPr>
          </w:p>
        </w:tc>
      </w:tr>
      <w:tr w:rsidR="004F6293" w14:paraId="33781A4A" w14:textId="77777777" w:rsidTr="009B10A5">
        <w:trPr>
          <w:trHeight w:val="15"/>
        </w:trPr>
        <w:tc>
          <w:tcPr>
            <w:tcW w:w="4055" w:type="dxa"/>
            <w:shd w:val="clear" w:color="auto" w:fill="FFD062"/>
          </w:tcPr>
          <w:p w14:paraId="69796FE4" w14:textId="77777777" w:rsidR="00000000" w:rsidRDefault="00000000" w:rsidP="009B10A5">
            <w:pPr>
              <w:pStyle w:val="Heading3"/>
              <w:spacing w:before="0" w:after="0"/>
              <w:rPr>
                <w:szCs w:val="20"/>
              </w:rPr>
            </w:pPr>
            <w:r>
              <w:rPr>
                <w:szCs w:val="20"/>
              </w:rPr>
              <w:t>Key Improvement Strategy 1.c</w:t>
            </w:r>
          </w:p>
          <w:p w14:paraId="72C65C76" w14:textId="77777777" w:rsidR="004F6293" w:rsidRDefault="00000000">
            <w:r>
              <w:rPr>
                <w:sz w:val="20"/>
              </w:rPr>
              <w:t xml:space="preserve">The strategic direction and deployment of resources to create and reflect shared goals and values; high expectations; and a positive, safe and orderly learning environment </w:t>
            </w:r>
          </w:p>
        </w:tc>
        <w:tc>
          <w:tcPr>
            <w:tcW w:w="11060" w:type="dxa"/>
            <w:shd w:val="clear" w:color="auto" w:fill="FFFFFF" w:themeFill="background1"/>
          </w:tcPr>
          <w:p w14:paraId="3ED60484" w14:textId="77777777" w:rsidR="00000000" w:rsidRPr="00FE3D5C" w:rsidRDefault="00000000" w:rsidP="009B10A5">
            <w:pPr>
              <w:pStyle w:val="ESBodyText"/>
              <w:spacing w:after="0"/>
              <w:rPr>
                <w:sz w:val="20"/>
                <w:szCs w:val="24"/>
              </w:rPr>
            </w:pPr>
            <w:r>
              <w:rPr>
                <w:sz w:val="20"/>
              </w:rPr>
              <w:t>Strengthen structures and practices to promote a positive culture of collaboration, continuous improvement, trust and collective responsibility.</w:t>
            </w:r>
          </w:p>
        </w:tc>
      </w:tr>
      <w:tr w:rsidR="004F6293" w14:paraId="68C00CBB" w14:textId="77777777" w:rsidTr="009B10A5">
        <w:trPr>
          <w:trHeight w:val="15"/>
        </w:trPr>
        <w:tc>
          <w:tcPr>
            <w:tcW w:w="4055" w:type="dxa"/>
            <w:shd w:val="clear" w:color="auto" w:fill="D9D9D9" w:themeFill="background1" w:themeFillShade="D9"/>
          </w:tcPr>
          <w:p w14:paraId="219556A9" w14:textId="77777777" w:rsidR="00000000" w:rsidRPr="001C2589" w:rsidRDefault="00000000" w:rsidP="009B10A5">
            <w:pPr>
              <w:pStyle w:val="Heading3"/>
              <w:spacing w:before="0" w:after="0"/>
              <w:rPr>
                <w:sz w:val="24"/>
                <w:szCs w:val="24"/>
              </w:rPr>
            </w:pPr>
            <w:r w:rsidRPr="001C2589">
              <w:rPr>
                <w:sz w:val="24"/>
                <w:szCs w:val="24"/>
              </w:rPr>
              <w:lastRenderedPageBreak/>
              <w:t>Goal 2</w:t>
            </w:r>
          </w:p>
        </w:tc>
        <w:tc>
          <w:tcPr>
            <w:tcW w:w="11060" w:type="dxa"/>
            <w:shd w:val="clear" w:color="auto" w:fill="FFFFFF" w:themeFill="background1"/>
          </w:tcPr>
          <w:p w14:paraId="792A59B2" w14:textId="77777777" w:rsidR="00000000" w:rsidRDefault="00000000" w:rsidP="009B10A5">
            <w:pPr>
              <w:pStyle w:val="ESBodyText"/>
              <w:spacing w:after="0"/>
              <w:rPr>
                <w:sz w:val="20"/>
                <w:szCs w:val="24"/>
              </w:rPr>
            </w:pPr>
            <w:r>
              <w:rPr>
                <w:sz w:val="20"/>
                <w:szCs w:val="24"/>
              </w:rPr>
              <w:t>To maximise students’ wellbeing and engagement in learning.</w:t>
            </w:r>
          </w:p>
        </w:tc>
      </w:tr>
      <w:tr w:rsidR="004F6293" w14:paraId="7D4C9CF5" w14:textId="77777777" w:rsidTr="009B10A5">
        <w:trPr>
          <w:trHeight w:val="15"/>
        </w:trPr>
        <w:tc>
          <w:tcPr>
            <w:tcW w:w="4055" w:type="dxa"/>
            <w:shd w:val="clear" w:color="auto" w:fill="D9D9D9" w:themeFill="background1" w:themeFillShade="D9"/>
          </w:tcPr>
          <w:p w14:paraId="2AB54092" w14:textId="77777777" w:rsidR="00000000" w:rsidRDefault="00000000" w:rsidP="009B10A5">
            <w:pPr>
              <w:pStyle w:val="Heading3"/>
              <w:spacing w:before="0" w:after="0"/>
              <w:rPr>
                <w:szCs w:val="20"/>
              </w:rPr>
            </w:pPr>
            <w:r>
              <w:rPr>
                <w:szCs w:val="20"/>
              </w:rPr>
              <w:t>Target 2.1</w:t>
            </w:r>
          </w:p>
        </w:tc>
        <w:tc>
          <w:tcPr>
            <w:tcW w:w="11060" w:type="dxa"/>
            <w:shd w:val="clear" w:color="auto" w:fill="FFFFFF" w:themeFill="background1"/>
          </w:tcPr>
          <w:p w14:paraId="067AE454" w14:textId="77777777" w:rsidR="004F6293"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Absences</w:t>
            </w:r>
          </w:p>
          <w:p w14:paraId="33962257" w14:textId="77777777" w:rsidR="004F6293"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decrease the average unapproved absences per student from 10.5 days (2022) to less than 5 days.</w:t>
            </w:r>
          </w:p>
          <w:p w14:paraId="21B02372" w14:textId="77777777" w:rsidR="004F6293" w:rsidRDefault="004F6293"/>
        </w:tc>
      </w:tr>
      <w:tr w:rsidR="004F6293" w14:paraId="04AF9F97" w14:textId="77777777" w:rsidTr="009B10A5">
        <w:trPr>
          <w:trHeight w:val="15"/>
        </w:trPr>
        <w:tc>
          <w:tcPr>
            <w:tcW w:w="4055" w:type="dxa"/>
            <w:shd w:val="clear" w:color="auto" w:fill="D9D9D9" w:themeFill="background1" w:themeFillShade="D9"/>
          </w:tcPr>
          <w:p w14:paraId="7F2E6D51" w14:textId="77777777" w:rsidR="00000000" w:rsidRDefault="00000000" w:rsidP="009B10A5">
            <w:pPr>
              <w:pStyle w:val="Heading3"/>
              <w:spacing w:before="0" w:after="0"/>
              <w:rPr>
                <w:szCs w:val="20"/>
              </w:rPr>
            </w:pPr>
            <w:r>
              <w:rPr>
                <w:szCs w:val="20"/>
              </w:rPr>
              <w:t>Target 2.2</w:t>
            </w:r>
          </w:p>
        </w:tc>
        <w:tc>
          <w:tcPr>
            <w:tcW w:w="11060" w:type="dxa"/>
            <w:shd w:val="clear" w:color="auto" w:fill="FFFFFF" w:themeFill="background1"/>
          </w:tcPr>
          <w:p w14:paraId="3324C89E" w14:textId="77777777" w:rsidR="004F6293"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Attitudes to School Survey</w:t>
            </w:r>
          </w:p>
          <w:p w14:paraId="2531298B" w14:textId="77777777" w:rsidR="004F6293"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2027, maintain or increase the level of positive endorsement for the following factors:</w:t>
            </w:r>
          </w:p>
          <w:p w14:paraId="6A1392A9" w14:textId="77777777" w:rsidR="004F6293"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concern from 79 percent (2023) to 85 percent</w:t>
            </w:r>
          </w:p>
          <w:p w14:paraId="0BEE3D15" w14:textId="77777777" w:rsidR="004F6293"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at or above 79 percent (2023)</w:t>
            </w:r>
          </w:p>
          <w:p w14:paraId="4DAA0061" w14:textId="77777777" w:rsidR="004F6293"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resilience (in the Brief Resilience Scale) from 0 percent (2023) to 20 percent</w:t>
            </w:r>
          </w:p>
          <w:p w14:paraId="0DDD7A75" w14:textId="77777777" w:rsidR="004F6293" w:rsidRDefault="004F6293"/>
        </w:tc>
      </w:tr>
      <w:tr w:rsidR="004F6293" w14:paraId="704CE954" w14:textId="77777777" w:rsidTr="009B10A5">
        <w:trPr>
          <w:trHeight w:val="15"/>
        </w:trPr>
        <w:tc>
          <w:tcPr>
            <w:tcW w:w="4055" w:type="dxa"/>
            <w:shd w:val="clear" w:color="auto" w:fill="F8CDDB"/>
          </w:tcPr>
          <w:p w14:paraId="608A2976" w14:textId="77777777" w:rsidR="00000000" w:rsidRDefault="00000000" w:rsidP="009B10A5">
            <w:pPr>
              <w:pStyle w:val="Heading3"/>
              <w:spacing w:before="0" w:after="0"/>
              <w:rPr>
                <w:szCs w:val="20"/>
              </w:rPr>
            </w:pPr>
            <w:r>
              <w:rPr>
                <w:szCs w:val="20"/>
              </w:rPr>
              <w:t>Key Improvement Strategy 2.a</w:t>
            </w:r>
          </w:p>
          <w:p w14:paraId="2F658A41" w14:textId="77777777" w:rsidR="004F6293" w:rsidRDefault="00000000">
            <w:r>
              <w:rPr>
                <w:sz w:val="20"/>
              </w:rPr>
              <w:t xml:space="preserve">Activation of student voice and agency, including in leadership and learning, to strengthen students’ participation and engagement in school </w:t>
            </w:r>
          </w:p>
        </w:tc>
        <w:tc>
          <w:tcPr>
            <w:tcW w:w="11060" w:type="dxa"/>
            <w:vMerge w:val="restart"/>
            <w:shd w:val="clear" w:color="auto" w:fill="FFFFFF" w:themeFill="background1"/>
          </w:tcPr>
          <w:p w14:paraId="6575B927" w14:textId="77777777" w:rsidR="00000000" w:rsidRPr="00FE3D5C" w:rsidRDefault="00000000" w:rsidP="009B10A5">
            <w:pPr>
              <w:pStyle w:val="ESBodyText"/>
              <w:spacing w:after="0"/>
              <w:rPr>
                <w:sz w:val="20"/>
                <w:szCs w:val="24"/>
              </w:rPr>
            </w:pPr>
            <w:r>
              <w:rPr>
                <w:sz w:val="20"/>
              </w:rPr>
              <w:t>Document and embed responsive and tiered practices that support all students’ learning growth, wellbeing and inclusion.</w:t>
            </w:r>
          </w:p>
        </w:tc>
      </w:tr>
      <w:tr w:rsidR="004F6293" w14:paraId="0D0F33AA" w14:textId="77777777" w:rsidTr="009B10A5">
        <w:trPr>
          <w:trHeight w:val="15"/>
        </w:trPr>
        <w:tc>
          <w:tcPr>
            <w:tcW w:w="4055" w:type="dxa"/>
            <w:shd w:val="clear" w:color="auto" w:fill="D2ACD0"/>
          </w:tcPr>
          <w:p w14:paraId="51A02563" w14:textId="77777777" w:rsidR="00000000" w:rsidRDefault="00000000" w:rsidP="009B10A5">
            <w:pPr>
              <w:pStyle w:val="Heading3"/>
              <w:spacing w:before="0" w:after="0"/>
              <w:rPr>
                <w:szCs w:val="20"/>
              </w:rPr>
            </w:pPr>
            <w:r>
              <w:rPr>
                <w:szCs w:val="20"/>
              </w:rPr>
              <w:t>Key Improvement Strategy 2.a</w:t>
            </w:r>
          </w:p>
          <w:p w14:paraId="07C73A22" w14:textId="77777777" w:rsidR="004F6293" w:rsidRDefault="00000000">
            <w:r>
              <w:rPr>
                <w:sz w:val="20"/>
              </w:rPr>
              <w:t xml:space="preserve">Responsive, tiered and contextualised approaches and strong relationships to support student learning, wellbeing and inclusion </w:t>
            </w:r>
          </w:p>
        </w:tc>
        <w:tc>
          <w:tcPr>
            <w:tcW w:w="11060" w:type="dxa"/>
            <w:vMerge/>
            <w:shd w:val="clear" w:color="auto" w:fill="FFFFFF" w:themeFill="background1"/>
          </w:tcPr>
          <w:p w14:paraId="010DE4CD" w14:textId="77777777" w:rsidR="00000000" w:rsidRPr="00FE3D5C" w:rsidRDefault="00000000" w:rsidP="009B10A5">
            <w:pPr>
              <w:pStyle w:val="ESBodyText"/>
              <w:spacing w:after="0"/>
              <w:rPr>
                <w:sz w:val="20"/>
                <w:szCs w:val="24"/>
              </w:rPr>
            </w:pPr>
          </w:p>
        </w:tc>
      </w:tr>
      <w:tr w:rsidR="004F6293" w14:paraId="0C90CECA" w14:textId="77777777" w:rsidTr="009B10A5">
        <w:trPr>
          <w:trHeight w:val="15"/>
        </w:trPr>
        <w:tc>
          <w:tcPr>
            <w:tcW w:w="4055" w:type="dxa"/>
            <w:shd w:val="clear" w:color="auto" w:fill="F8CDDB"/>
          </w:tcPr>
          <w:p w14:paraId="1B3DB42A" w14:textId="77777777" w:rsidR="00000000" w:rsidRDefault="00000000" w:rsidP="009B10A5">
            <w:pPr>
              <w:pStyle w:val="Heading3"/>
              <w:spacing w:before="0" w:after="0"/>
              <w:rPr>
                <w:szCs w:val="20"/>
              </w:rPr>
            </w:pPr>
            <w:r>
              <w:rPr>
                <w:szCs w:val="20"/>
              </w:rPr>
              <w:t>Key Improvement Strategy 2.b</w:t>
            </w:r>
          </w:p>
          <w:p w14:paraId="29355F1A" w14:textId="77777777" w:rsidR="004F6293" w:rsidRDefault="00000000">
            <w:r>
              <w:rPr>
                <w:sz w:val="20"/>
              </w:rPr>
              <w:lastRenderedPageBreak/>
              <w:t xml:space="preserve">Activation of student voice and agency, including in leadership and learning, to strengthen students’ participation and engagement in school </w:t>
            </w:r>
          </w:p>
        </w:tc>
        <w:tc>
          <w:tcPr>
            <w:tcW w:w="11060" w:type="dxa"/>
            <w:vMerge w:val="restart"/>
            <w:shd w:val="clear" w:color="auto" w:fill="FFFFFF" w:themeFill="background1"/>
          </w:tcPr>
          <w:p w14:paraId="7F8E2E3D" w14:textId="77777777" w:rsidR="00000000" w:rsidRPr="00FE3D5C" w:rsidRDefault="00000000" w:rsidP="009B10A5">
            <w:pPr>
              <w:pStyle w:val="ESBodyText"/>
              <w:spacing w:after="0"/>
              <w:rPr>
                <w:sz w:val="20"/>
                <w:szCs w:val="24"/>
              </w:rPr>
            </w:pPr>
            <w:r>
              <w:rPr>
                <w:sz w:val="20"/>
              </w:rPr>
              <w:lastRenderedPageBreak/>
              <w:t>Develop consistent practices that promote student agency and cognitive engagement across the school.</w:t>
            </w:r>
          </w:p>
        </w:tc>
      </w:tr>
      <w:tr w:rsidR="004F6293" w14:paraId="21727D6C" w14:textId="77777777" w:rsidTr="009B10A5">
        <w:trPr>
          <w:trHeight w:val="15"/>
        </w:trPr>
        <w:tc>
          <w:tcPr>
            <w:tcW w:w="4055" w:type="dxa"/>
            <w:shd w:val="clear" w:color="auto" w:fill="58BFBD"/>
          </w:tcPr>
          <w:p w14:paraId="2A59D78D" w14:textId="77777777" w:rsidR="00000000" w:rsidRDefault="00000000" w:rsidP="009B10A5">
            <w:pPr>
              <w:pStyle w:val="Heading3"/>
              <w:spacing w:before="0" w:after="0"/>
              <w:rPr>
                <w:szCs w:val="20"/>
              </w:rPr>
            </w:pPr>
            <w:r>
              <w:rPr>
                <w:szCs w:val="20"/>
              </w:rPr>
              <w:t>Key Improvement Strategy 2.b</w:t>
            </w:r>
          </w:p>
          <w:p w14:paraId="53AF1097" w14:textId="77777777" w:rsidR="004F6293" w:rsidRDefault="00000000">
            <w:r>
              <w:rPr>
                <w:sz w:val="20"/>
              </w:rPr>
              <w:t xml:space="preserve">Documented teaching and learning program based on the Victorian Curriculum and senior secondary pathways, incorporating extra-curricula programs </w:t>
            </w:r>
          </w:p>
        </w:tc>
        <w:tc>
          <w:tcPr>
            <w:tcW w:w="11060" w:type="dxa"/>
            <w:vMerge/>
            <w:shd w:val="clear" w:color="auto" w:fill="FFFFFF" w:themeFill="background1"/>
          </w:tcPr>
          <w:p w14:paraId="7E1C5EEC" w14:textId="77777777" w:rsidR="00000000" w:rsidRPr="00FE3D5C" w:rsidRDefault="00000000" w:rsidP="009B10A5">
            <w:pPr>
              <w:pStyle w:val="ESBodyText"/>
              <w:spacing w:after="0"/>
              <w:rPr>
                <w:sz w:val="20"/>
                <w:szCs w:val="24"/>
              </w:rPr>
            </w:pPr>
          </w:p>
        </w:tc>
      </w:tr>
    </w:tbl>
    <w:p w14:paraId="40424B1C" w14:textId="77777777" w:rsidR="00000000" w:rsidRPr="00FA10DB" w:rsidRDefault="00000000" w:rsidP="007166AE">
      <w:pPr>
        <w:ind w:right="-632"/>
        <w:rPr>
          <w:b/>
          <w:color w:val="AF272F"/>
          <w:sz w:val="36"/>
          <w:szCs w:val="44"/>
        </w:rPr>
      </w:pPr>
    </w:p>
    <w:p w14:paraId="4A4857D3" w14:textId="77777777" w:rsidR="004F6293" w:rsidRDefault="004F6293"/>
    <w:p w14:paraId="545E0DA5" w14:textId="77777777" w:rsidR="004F6293" w:rsidRDefault="004F6293"/>
    <w:sectPr w:rsidR="004F6293" w:rsidSect="00E72059">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8449" w14:textId="77777777" w:rsidR="00E72059" w:rsidRDefault="00E72059">
      <w:pPr>
        <w:spacing w:after="0" w:line="240" w:lineRule="auto"/>
      </w:pPr>
      <w:r>
        <w:separator/>
      </w:r>
    </w:p>
  </w:endnote>
  <w:endnote w:type="continuationSeparator" w:id="0">
    <w:p w14:paraId="53AAEEB0" w14:textId="77777777" w:rsidR="00E72059" w:rsidRDefault="00E7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3D61" w14:textId="77777777" w:rsidR="00000000" w:rsidRDefault="00000000"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150692A" w14:textId="77777777" w:rsidR="00000000" w:rsidRDefault="00000000"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8B88" w14:textId="77777777" w:rsidR="00000000" w:rsidRPr="003E29B5" w:rsidRDefault="00000000" w:rsidP="00B076DB">
    <w:r w:rsidRPr="000C104E">
      <w:rPr>
        <w:noProof/>
        <w:lang w:val="en-AU" w:eastAsia="en-AU"/>
      </w:rPr>
      <w:drawing>
        <wp:anchor distT="0" distB="0" distL="114300" distR="114300" simplePos="0" relativeHeight="251674624" behindDoc="1" locked="0" layoutInCell="1" allowOverlap="1" wp14:anchorId="77D2B58D" wp14:editId="698BDB3B">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62FA" w14:textId="77777777" w:rsidR="00000000" w:rsidRPr="007839E6" w:rsidRDefault="00000000" w:rsidP="00362A9C">
    <w:pPr>
      <w:pStyle w:val="ESImageorGraphTitle"/>
      <w:rPr>
        <w:b w:val="0"/>
        <w:sz w:val="15"/>
        <w:szCs w:val="15"/>
      </w:rPr>
    </w:pPr>
    <w:r w:rsidRPr="007839E6">
      <w:rPr>
        <w:b w:val="0"/>
        <w:noProof/>
        <w:sz w:val="15"/>
        <w:szCs w:val="15"/>
      </w:rPr>
      <w:t>Cohuna Consolidated School (6211) - School Strategic Plan</w:t>
    </w:r>
    <w:r w:rsidRPr="007839E6">
      <w:rPr>
        <w:b w:val="0"/>
        <w:noProof/>
        <w:sz w:val="15"/>
        <w:szCs w:val="15"/>
        <w:lang w:val="en-AU" w:eastAsia="en-AU"/>
      </w:rPr>
      <w:drawing>
        <wp:anchor distT="0" distB="0" distL="114300" distR="114300" simplePos="0" relativeHeight="251675648" behindDoc="1" locked="0" layoutInCell="1" allowOverlap="1" wp14:anchorId="2DFD4AE3" wp14:editId="692EA34E">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14:paraId="42B9D8C0" w14:textId="77777777" w:rsidR="00000000" w:rsidRPr="007B2B29" w:rsidRDefault="00000000"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BC0" w14:textId="77777777" w:rsidR="00000000" w:rsidRPr="00793BFC" w:rsidRDefault="00000000" w:rsidP="00793BFC">
    <w:pPr>
      <w:pStyle w:val="ESSubheading1"/>
      <w:ind w:firstLine="567"/>
      <w:rPr>
        <w:sz w:val="15"/>
        <w:szCs w:val="15"/>
      </w:rPr>
    </w:pPr>
    <w:r w:rsidRPr="00793BFC">
      <w:rPr>
        <w:noProof/>
        <w:sz w:val="15"/>
        <w:szCs w:val="15"/>
      </w:rPr>
      <w:t>Cohuna Consolidated School (6211) - School Strategic Plan</w:t>
    </w:r>
    <w:r w:rsidRPr="00793BFC">
      <w:rPr>
        <w:noProof/>
        <w:sz w:val="15"/>
        <w:szCs w:val="15"/>
      </w:rPr>
      <w:drawing>
        <wp:anchor distT="0" distB="0" distL="114300" distR="114300" simplePos="0" relativeHeight="251663360" behindDoc="1" locked="0" layoutInCell="1" allowOverlap="1" wp14:anchorId="146B9C91" wp14:editId="7F6221CA">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4370A06C" w14:textId="77777777" w:rsidR="00000000"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8767" w14:textId="77777777" w:rsidR="00E72059" w:rsidRDefault="00E72059">
      <w:pPr>
        <w:spacing w:after="0" w:line="240" w:lineRule="auto"/>
      </w:pPr>
      <w:r>
        <w:separator/>
      </w:r>
    </w:p>
  </w:footnote>
  <w:footnote w:type="continuationSeparator" w:id="0">
    <w:p w14:paraId="4B7AD61A" w14:textId="77777777" w:rsidR="00E72059" w:rsidRDefault="00E7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D3F6" w14:textId="77777777" w:rsidR="00000000" w:rsidRDefault="00000000">
    <w:r>
      <w:rPr>
        <w:noProof/>
      </w:rPr>
      <mc:AlternateContent>
        <mc:Choice Requires="wps">
          <w:drawing>
            <wp:anchor distT="0" distB="0" distL="114300" distR="114300" simplePos="0" relativeHeight="251666432" behindDoc="0" locked="0" layoutInCell="1" allowOverlap="1" wp14:anchorId="05FB0E89" wp14:editId="0B6949C2">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7C18FE6" w14:textId="77777777" w:rsidR="00000000"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1281" w14:textId="77777777" w:rsidR="00000000" w:rsidRDefault="00000000">
    <w:pPr>
      <w:pStyle w:val="Header"/>
    </w:pPr>
    <w:r w:rsidRPr="000C104E">
      <w:rPr>
        <w:noProof/>
        <w:lang w:val="en-AU" w:eastAsia="en-AU"/>
      </w:rPr>
      <w:drawing>
        <wp:anchor distT="0" distB="0" distL="114300" distR="114300" simplePos="0" relativeHeight="251672576" behindDoc="1" locked="0" layoutInCell="1" allowOverlap="1" wp14:anchorId="613F3C7D" wp14:editId="52007D46">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3237E56"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AD14" w14:textId="77777777" w:rsidR="00000000" w:rsidRDefault="00000000">
    <w:r>
      <w:rPr>
        <w:noProof/>
      </w:rPr>
      <mc:AlternateContent>
        <mc:Choice Requires="wps">
          <w:drawing>
            <wp:anchor distT="0" distB="0" distL="114300" distR="114300" simplePos="0" relativeHeight="251664384" behindDoc="0" locked="0" layoutInCell="1" allowOverlap="1" wp14:anchorId="35664DC3" wp14:editId="30C1F7D3">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567C89C" w14:textId="77777777" w:rsidR="00000000"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0E17" w14:textId="77777777" w:rsidR="00000000" w:rsidRDefault="00000000">
    <w:r>
      <w:rPr>
        <w:noProof/>
        <w:lang w:val="en-AU" w:eastAsia="en-AU"/>
      </w:rPr>
      <mc:AlternateContent>
        <mc:Choice Requires="wps">
          <w:drawing>
            <wp:anchor distT="0" distB="0" distL="114300" distR="114300" simplePos="0" relativeHeight="251670528" behindDoc="0" locked="0" layoutInCell="1" allowOverlap="1" wp14:anchorId="1C4D2628" wp14:editId="56BD9177">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774ED8A"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BF7F" w14:textId="77777777" w:rsidR="00000000" w:rsidRDefault="00000000">
    <w:r w:rsidRPr="000C104E">
      <w:rPr>
        <w:noProof/>
        <w:lang w:val="en-AU" w:eastAsia="en-AU"/>
      </w:rPr>
      <w:drawing>
        <wp:anchor distT="0" distB="0" distL="114300" distR="114300" simplePos="0" relativeHeight="251673600" behindDoc="1" locked="0" layoutInCell="1" allowOverlap="1" wp14:anchorId="41826044" wp14:editId="41B3E8F8">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B4B2" w14:textId="77777777" w:rsidR="00000000" w:rsidRDefault="00000000">
    <w:r>
      <w:rPr>
        <w:noProof/>
        <w:lang w:val="en-AU" w:eastAsia="en-AU"/>
      </w:rPr>
      <mc:AlternateContent>
        <mc:Choice Requires="wps">
          <w:drawing>
            <wp:anchor distT="0" distB="0" distL="114300" distR="114300" simplePos="0" relativeHeight="251668480" behindDoc="0" locked="0" layoutInCell="1" allowOverlap="1" wp14:anchorId="3D3BD40F" wp14:editId="3B430C6E">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D9C4B62"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9039" w14:textId="77777777" w:rsidR="00000000" w:rsidRDefault="00000000">
    <w:r>
      <w:rPr>
        <w:noProof/>
      </w:rPr>
      <mc:AlternateContent>
        <mc:Choice Requires="wps">
          <w:drawing>
            <wp:anchor distT="0" distB="0" distL="114300" distR="114300" simplePos="0" relativeHeight="251660288" behindDoc="0" locked="0" layoutInCell="1" allowOverlap="1" wp14:anchorId="1640AEA8" wp14:editId="4A791C93">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402F7EE"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7E3D" w14:textId="77777777" w:rsidR="00000000" w:rsidRPr="003E29B5" w:rsidRDefault="00000000" w:rsidP="008766A4">
    <w:r w:rsidRPr="000C104E">
      <w:rPr>
        <w:noProof/>
      </w:rPr>
      <w:drawing>
        <wp:anchor distT="0" distB="0" distL="114300" distR="114300" simplePos="0" relativeHeight="251662336" behindDoc="1" locked="0" layoutInCell="1" allowOverlap="1" wp14:anchorId="234A206D" wp14:editId="6DCAB416">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1B9D263" w14:textId="77777777" w:rsidR="00000000"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6E69" w14:textId="77777777" w:rsidR="00000000" w:rsidRDefault="00000000">
    <w:r>
      <w:rPr>
        <w:noProof/>
      </w:rPr>
      <mc:AlternateContent>
        <mc:Choice Requires="wps">
          <w:drawing>
            <wp:anchor distT="0" distB="0" distL="114300" distR="114300" simplePos="0" relativeHeight="251658240" behindDoc="0" locked="0" layoutInCell="1" allowOverlap="1" wp14:anchorId="72B74EA5" wp14:editId="7D511157">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09A4C4D" w14:textId="77777777" w:rsidR="00000000"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3FAACF64">
      <w:start w:val="1"/>
      <w:numFmt w:val="bullet"/>
      <w:pStyle w:val="ESBulletsinTable"/>
      <w:lvlText w:val=""/>
      <w:lvlJc w:val="left"/>
      <w:pPr>
        <w:ind w:left="360" w:hanging="360"/>
      </w:pPr>
      <w:rPr>
        <w:rFonts w:ascii="Symbol" w:hAnsi="Symbol" w:hint="default"/>
        <w:color w:val="AF272F"/>
      </w:rPr>
    </w:lvl>
    <w:lvl w:ilvl="1" w:tplc="CF5A5670">
      <w:start w:val="1"/>
      <w:numFmt w:val="bullet"/>
      <w:pStyle w:val="ESBulletsinTableLevel2"/>
      <w:lvlText w:val="o"/>
      <w:lvlJc w:val="left"/>
      <w:pPr>
        <w:ind w:left="1440" w:hanging="360"/>
      </w:pPr>
      <w:rPr>
        <w:rFonts w:ascii="Courier New" w:hAnsi="Courier New" w:cs="Courier New" w:hint="default"/>
      </w:rPr>
    </w:lvl>
    <w:lvl w:ilvl="2" w:tplc="828EE902" w:tentative="1">
      <w:start w:val="1"/>
      <w:numFmt w:val="bullet"/>
      <w:lvlText w:val=""/>
      <w:lvlJc w:val="left"/>
      <w:pPr>
        <w:ind w:left="2160" w:hanging="360"/>
      </w:pPr>
      <w:rPr>
        <w:rFonts w:ascii="Wingdings" w:hAnsi="Wingdings" w:hint="default"/>
      </w:rPr>
    </w:lvl>
    <w:lvl w:ilvl="3" w:tplc="73C864AA" w:tentative="1">
      <w:start w:val="1"/>
      <w:numFmt w:val="bullet"/>
      <w:lvlText w:val=""/>
      <w:lvlJc w:val="left"/>
      <w:pPr>
        <w:ind w:left="2880" w:hanging="360"/>
      </w:pPr>
      <w:rPr>
        <w:rFonts w:ascii="Symbol" w:hAnsi="Symbol" w:hint="default"/>
      </w:rPr>
    </w:lvl>
    <w:lvl w:ilvl="4" w:tplc="6CB0FA52" w:tentative="1">
      <w:start w:val="1"/>
      <w:numFmt w:val="bullet"/>
      <w:lvlText w:val="o"/>
      <w:lvlJc w:val="left"/>
      <w:pPr>
        <w:ind w:left="3600" w:hanging="360"/>
      </w:pPr>
      <w:rPr>
        <w:rFonts w:ascii="Courier New" w:hAnsi="Courier New" w:cs="Courier New" w:hint="default"/>
      </w:rPr>
    </w:lvl>
    <w:lvl w:ilvl="5" w:tplc="BF523C98" w:tentative="1">
      <w:start w:val="1"/>
      <w:numFmt w:val="bullet"/>
      <w:lvlText w:val=""/>
      <w:lvlJc w:val="left"/>
      <w:pPr>
        <w:ind w:left="4320" w:hanging="360"/>
      </w:pPr>
      <w:rPr>
        <w:rFonts w:ascii="Wingdings" w:hAnsi="Wingdings" w:hint="default"/>
      </w:rPr>
    </w:lvl>
    <w:lvl w:ilvl="6" w:tplc="EC1C6D4E" w:tentative="1">
      <w:start w:val="1"/>
      <w:numFmt w:val="bullet"/>
      <w:lvlText w:val=""/>
      <w:lvlJc w:val="left"/>
      <w:pPr>
        <w:ind w:left="5040" w:hanging="360"/>
      </w:pPr>
      <w:rPr>
        <w:rFonts w:ascii="Symbol" w:hAnsi="Symbol" w:hint="default"/>
      </w:rPr>
    </w:lvl>
    <w:lvl w:ilvl="7" w:tplc="B808B2FC" w:tentative="1">
      <w:start w:val="1"/>
      <w:numFmt w:val="bullet"/>
      <w:lvlText w:val="o"/>
      <w:lvlJc w:val="left"/>
      <w:pPr>
        <w:ind w:left="5760" w:hanging="360"/>
      </w:pPr>
      <w:rPr>
        <w:rFonts w:ascii="Courier New" w:hAnsi="Courier New" w:cs="Courier New" w:hint="default"/>
      </w:rPr>
    </w:lvl>
    <w:lvl w:ilvl="8" w:tplc="FED61EE6"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352C616C">
      <w:start w:val="1"/>
      <w:numFmt w:val="bullet"/>
      <w:lvlText w:val=""/>
      <w:lvlJc w:val="left"/>
      <w:pPr>
        <w:ind w:left="720" w:hanging="360"/>
      </w:pPr>
      <w:rPr>
        <w:rFonts w:ascii="Symbol" w:hAnsi="Symbol"/>
      </w:rPr>
    </w:lvl>
    <w:lvl w:ilvl="1" w:tplc="03CA9E72">
      <w:start w:val="1"/>
      <w:numFmt w:val="bullet"/>
      <w:lvlText w:val="o"/>
      <w:lvlJc w:val="left"/>
      <w:pPr>
        <w:tabs>
          <w:tab w:val="num" w:pos="1440"/>
        </w:tabs>
        <w:ind w:left="1440" w:hanging="360"/>
      </w:pPr>
      <w:rPr>
        <w:rFonts w:ascii="Courier New" w:hAnsi="Courier New"/>
      </w:rPr>
    </w:lvl>
    <w:lvl w:ilvl="2" w:tplc="F6CC8A5C">
      <w:start w:val="1"/>
      <w:numFmt w:val="bullet"/>
      <w:lvlText w:val=""/>
      <w:lvlJc w:val="left"/>
      <w:pPr>
        <w:tabs>
          <w:tab w:val="num" w:pos="2160"/>
        </w:tabs>
        <w:ind w:left="2160" w:hanging="360"/>
      </w:pPr>
      <w:rPr>
        <w:rFonts w:ascii="Wingdings" w:hAnsi="Wingdings"/>
      </w:rPr>
    </w:lvl>
    <w:lvl w:ilvl="3" w:tplc="5718B67C">
      <w:start w:val="1"/>
      <w:numFmt w:val="bullet"/>
      <w:lvlText w:val=""/>
      <w:lvlJc w:val="left"/>
      <w:pPr>
        <w:tabs>
          <w:tab w:val="num" w:pos="2880"/>
        </w:tabs>
        <w:ind w:left="2880" w:hanging="360"/>
      </w:pPr>
      <w:rPr>
        <w:rFonts w:ascii="Symbol" w:hAnsi="Symbol"/>
      </w:rPr>
    </w:lvl>
    <w:lvl w:ilvl="4" w:tplc="21CAB3AC">
      <w:start w:val="1"/>
      <w:numFmt w:val="bullet"/>
      <w:lvlText w:val="o"/>
      <w:lvlJc w:val="left"/>
      <w:pPr>
        <w:tabs>
          <w:tab w:val="num" w:pos="3600"/>
        </w:tabs>
        <w:ind w:left="3600" w:hanging="360"/>
      </w:pPr>
      <w:rPr>
        <w:rFonts w:ascii="Courier New" w:hAnsi="Courier New"/>
      </w:rPr>
    </w:lvl>
    <w:lvl w:ilvl="5" w:tplc="7BAAB6C6">
      <w:start w:val="1"/>
      <w:numFmt w:val="bullet"/>
      <w:lvlText w:val=""/>
      <w:lvlJc w:val="left"/>
      <w:pPr>
        <w:tabs>
          <w:tab w:val="num" w:pos="4320"/>
        </w:tabs>
        <w:ind w:left="4320" w:hanging="360"/>
      </w:pPr>
      <w:rPr>
        <w:rFonts w:ascii="Wingdings" w:hAnsi="Wingdings"/>
      </w:rPr>
    </w:lvl>
    <w:lvl w:ilvl="6" w:tplc="79C88D24">
      <w:start w:val="1"/>
      <w:numFmt w:val="bullet"/>
      <w:lvlText w:val=""/>
      <w:lvlJc w:val="left"/>
      <w:pPr>
        <w:tabs>
          <w:tab w:val="num" w:pos="5040"/>
        </w:tabs>
        <w:ind w:left="5040" w:hanging="360"/>
      </w:pPr>
      <w:rPr>
        <w:rFonts w:ascii="Symbol" w:hAnsi="Symbol"/>
      </w:rPr>
    </w:lvl>
    <w:lvl w:ilvl="7" w:tplc="00C4BE44">
      <w:start w:val="1"/>
      <w:numFmt w:val="bullet"/>
      <w:lvlText w:val="o"/>
      <w:lvlJc w:val="left"/>
      <w:pPr>
        <w:tabs>
          <w:tab w:val="num" w:pos="5760"/>
        </w:tabs>
        <w:ind w:left="5760" w:hanging="360"/>
      </w:pPr>
      <w:rPr>
        <w:rFonts w:ascii="Courier New" w:hAnsi="Courier New"/>
      </w:rPr>
    </w:lvl>
    <w:lvl w:ilvl="8" w:tplc="DAF8FAFE">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B6CC2B10">
      <w:start w:val="1"/>
      <w:numFmt w:val="bullet"/>
      <w:lvlText w:val=""/>
      <w:lvlJc w:val="left"/>
      <w:pPr>
        <w:ind w:left="720" w:hanging="360"/>
      </w:pPr>
      <w:rPr>
        <w:rFonts w:ascii="Symbol" w:hAnsi="Symbol"/>
      </w:rPr>
    </w:lvl>
    <w:lvl w:ilvl="1" w:tplc="4B2AEA96">
      <w:start w:val="1"/>
      <w:numFmt w:val="bullet"/>
      <w:lvlText w:val="o"/>
      <w:lvlJc w:val="left"/>
      <w:pPr>
        <w:tabs>
          <w:tab w:val="num" w:pos="1440"/>
        </w:tabs>
        <w:ind w:left="1440" w:hanging="360"/>
      </w:pPr>
      <w:rPr>
        <w:rFonts w:ascii="Courier New" w:hAnsi="Courier New"/>
      </w:rPr>
    </w:lvl>
    <w:lvl w:ilvl="2" w:tplc="365CE21A">
      <w:start w:val="1"/>
      <w:numFmt w:val="bullet"/>
      <w:lvlText w:val=""/>
      <w:lvlJc w:val="left"/>
      <w:pPr>
        <w:tabs>
          <w:tab w:val="num" w:pos="2160"/>
        </w:tabs>
        <w:ind w:left="2160" w:hanging="360"/>
      </w:pPr>
      <w:rPr>
        <w:rFonts w:ascii="Wingdings" w:hAnsi="Wingdings"/>
      </w:rPr>
    </w:lvl>
    <w:lvl w:ilvl="3" w:tplc="99E46E44">
      <w:start w:val="1"/>
      <w:numFmt w:val="bullet"/>
      <w:lvlText w:val=""/>
      <w:lvlJc w:val="left"/>
      <w:pPr>
        <w:tabs>
          <w:tab w:val="num" w:pos="2880"/>
        </w:tabs>
        <w:ind w:left="2880" w:hanging="360"/>
      </w:pPr>
      <w:rPr>
        <w:rFonts w:ascii="Symbol" w:hAnsi="Symbol"/>
      </w:rPr>
    </w:lvl>
    <w:lvl w:ilvl="4" w:tplc="9DD20F2E">
      <w:start w:val="1"/>
      <w:numFmt w:val="bullet"/>
      <w:lvlText w:val="o"/>
      <w:lvlJc w:val="left"/>
      <w:pPr>
        <w:tabs>
          <w:tab w:val="num" w:pos="3600"/>
        </w:tabs>
        <w:ind w:left="3600" w:hanging="360"/>
      </w:pPr>
      <w:rPr>
        <w:rFonts w:ascii="Courier New" w:hAnsi="Courier New"/>
      </w:rPr>
    </w:lvl>
    <w:lvl w:ilvl="5" w:tplc="DCD2ECF0">
      <w:start w:val="1"/>
      <w:numFmt w:val="bullet"/>
      <w:lvlText w:val=""/>
      <w:lvlJc w:val="left"/>
      <w:pPr>
        <w:tabs>
          <w:tab w:val="num" w:pos="4320"/>
        </w:tabs>
        <w:ind w:left="4320" w:hanging="360"/>
      </w:pPr>
      <w:rPr>
        <w:rFonts w:ascii="Wingdings" w:hAnsi="Wingdings"/>
      </w:rPr>
    </w:lvl>
    <w:lvl w:ilvl="6" w:tplc="671E6646">
      <w:start w:val="1"/>
      <w:numFmt w:val="bullet"/>
      <w:lvlText w:val=""/>
      <w:lvlJc w:val="left"/>
      <w:pPr>
        <w:tabs>
          <w:tab w:val="num" w:pos="5040"/>
        </w:tabs>
        <w:ind w:left="5040" w:hanging="360"/>
      </w:pPr>
      <w:rPr>
        <w:rFonts w:ascii="Symbol" w:hAnsi="Symbol"/>
      </w:rPr>
    </w:lvl>
    <w:lvl w:ilvl="7" w:tplc="F386EACA">
      <w:start w:val="1"/>
      <w:numFmt w:val="bullet"/>
      <w:lvlText w:val="o"/>
      <w:lvlJc w:val="left"/>
      <w:pPr>
        <w:tabs>
          <w:tab w:val="num" w:pos="5760"/>
        </w:tabs>
        <w:ind w:left="5760" w:hanging="360"/>
      </w:pPr>
      <w:rPr>
        <w:rFonts w:ascii="Courier New" w:hAnsi="Courier New"/>
      </w:rPr>
    </w:lvl>
    <w:lvl w:ilvl="8" w:tplc="F79239DE">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C97C2A20">
      <w:start w:val="1"/>
      <w:numFmt w:val="bullet"/>
      <w:lvlText w:val=""/>
      <w:lvlJc w:val="left"/>
      <w:pPr>
        <w:ind w:left="720" w:hanging="360"/>
      </w:pPr>
      <w:rPr>
        <w:rFonts w:ascii="Symbol" w:hAnsi="Symbol"/>
      </w:rPr>
    </w:lvl>
    <w:lvl w:ilvl="1" w:tplc="96D8523E">
      <w:start w:val="1"/>
      <w:numFmt w:val="bullet"/>
      <w:lvlText w:val="o"/>
      <w:lvlJc w:val="left"/>
      <w:pPr>
        <w:tabs>
          <w:tab w:val="num" w:pos="1440"/>
        </w:tabs>
        <w:ind w:left="1440" w:hanging="360"/>
      </w:pPr>
      <w:rPr>
        <w:rFonts w:ascii="Courier New" w:hAnsi="Courier New"/>
      </w:rPr>
    </w:lvl>
    <w:lvl w:ilvl="2" w:tplc="893EB630">
      <w:start w:val="1"/>
      <w:numFmt w:val="bullet"/>
      <w:lvlText w:val=""/>
      <w:lvlJc w:val="left"/>
      <w:pPr>
        <w:tabs>
          <w:tab w:val="num" w:pos="2160"/>
        </w:tabs>
        <w:ind w:left="2160" w:hanging="360"/>
      </w:pPr>
      <w:rPr>
        <w:rFonts w:ascii="Wingdings" w:hAnsi="Wingdings"/>
      </w:rPr>
    </w:lvl>
    <w:lvl w:ilvl="3" w:tplc="F6EEC860">
      <w:start w:val="1"/>
      <w:numFmt w:val="bullet"/>
      <w:lvlText w:val=""/>
      <w:lvlJc w:val="left"/>
      <w:pPr>
        <w:tabs>
          <w:tab w:val="num" w:pos="2880"/>
        </w:tabs>
        <w:ind w:left="2880" w:hanging="360"/>
      </w:pPr>
      <w:rPr>
        <w:rFonts w:ascii="Symbol" w:hAnsi="Symbol"/>
      </w:rPr>
    </w:lvl>
    <w:lvl w:ilvl="4" w:tplc="ADA64E42">
      <w:start w:val="1"/>
      <w:numFmt w:val="bullet"/>
      <w:lvlText w:val="o"/>
      <w:lvlJc w:val="left"/>
      <w:pPr>
        <w:tabs>
          <w:tab w:val="num" w:pos="3600"/>
        </w:tabs>
        <w:ind w:left="3600" w:hanging="360"/>
      </w:pPr>
      <w:rPr>
        <w:rFonts w:ascii="Courier New" w:hAnsi="Courier New"/>
      </w:rPr>
    </w:lvl>
    <w:lvl w:ilvl="5" w:tplc="8D8EF16A">
      <w:start w:val="1"/>
      <w:numFmt w:val="bullet"/>
      <w:lvlText w:val=""/>
      <w:lvlJc w:val="left"/>
      <w:pPr>
        <w:tabs>
          <w:tab w:val="num" w:pos="4320"/>
        </w:tabs>
        <w:ind w:left="4320" w:hanging="360"/>
      </w:pPr>
      <w:rPr>
        <w:rFonts w:ascii="Wingdings" w:hAnsi="Wingdings"/>
      </w:rPr>
    </w:lvl>
    <w:lvl w:ilvl="6" w:tplc="0E0C5842">
      <w:start w:val="1"/>
      <w:numFmt w:val="bullet"/>
      <w:lvlText w:val=""/>
      <w:lvlJc w:val="left"/>
      <w:pPr>
        <w:tabs>
          <w:tab w:val="num" w:pos="5040"/>
        </w:tabs>
        <w:ind w:left="5040" w:hanging="360"/>
      </w:pPr>
      <w:rPr>
        <w:rFonts w:ascii="Symbol" w:hAnsi="Symbol"/>
      </w:rPr>
    </w:lvl>
    <w:lvl w:ilvl="7" w:tplc="645C8FAC">
      <w:start w:val="1"/>
      <w:numFmt w:val="bullet"/>
      <w:lvlText w:val="o"/>
      <w:lvlJc w:val="left"/>
      <w:pPr>
        <w:tabs>
          <w:tab w:val="num" w:pos="5760"/>
        </w:tabs>
        <w:ind w:left="5760" w:hanging="360"/>
      </w:pPr>
      <w:rPr>
        <w:rFonts w:ascii="Courier New" w:hAnsi="Courier New"/>
      </w:rPr>
    </w:lvl>
    <w:lvl w:ilvl="8" w:tplc="4BCE6ED0">
      <w:start w:val="1"/>
      <w:numFmt w:val="bullet"/>
      <w:lvlText w:val=""/>
      <w:lvlJc w:val="left"/>
      <w:pPr>
        <w:tabs>
          <w:tab w:val="num" w:pos="6480"/>
        </w:tabs>
        <w:ind w:left="6480" w:hanging="360"/>
      </w:pPr>
      <w:rPr>
        <w:rFonts w:ascii="Wingdings" w:hAnsi="Wingdings"/>
      </w:rPr>
    </w:lvl>
  </w:abstractNum>
  <w:num w:numId="1" w16cid:durableId="1711025947">
    <w:abstractNumId w:val="10"/>
  </w:num>
  <w:num w:numId="2" w16cid:durableId="1369719406">
    <w:abstractNumId w:val="8"/>
  </w:num>
  <w:num w:numId="3" w16cid:durableId="2091460632">
    <w:abstractNumId w:val="7"/>
  </w:num>
  <w:num w:numId="4" w16cid:durableId="645009093">
    <w:abstractNumId w:val="6"/>
  </w:num>
  <w:num w:numId="5" w16cid:durableId="1640106041">
    <w:abstractNumId w:val="5"/>
  </w:num>
  <w:num w:numId="6" w16cid:durableId="1500538048">
    <w:abstractNumId w:val="9"/>
  </w:num>
  <w:num w:numId="7" w16cid:durableId="32851056">
    <w:abstractNumId w:val="4"/>
  </w:num>
  <w:num w:numId="8" w16cid:durableId="843663006">
    <w:abstractNumId w:val="3"/>
  </w:num>
  <w:num w:numId="9" w16cid:durableId="1511220059">
    <w:abstractNumId w:val="2"/>
  </w:num>
  <w:num w:numId="10" w16cid:durableId="857043107">
    <w:abstractNumId w:val="1"/>
  </w:num>
  <w:num w:numId="11" w16cid:durableId="586773517">
    <w:abstractNumId w:val="0"/>
  </w:num>
  <w:num w:numId="12" w16cid:durableId="2021812538">
    <w:abstractNumId w:val="11"/>
  </w:num>
  <w:num w:numId="13" w16cid:durableId="324941700">
    <w:abstractNumId w:val="16"/>
  </w:num>
  <w:num w:numId="14" w16cid:durableId="1402826435">
    <w:abstractNumId w:val="14"/>
  </w:num>
  <w:num w:numId="15" w16cid:durableId="1239438282">
    <w:abstractNumId w:val="15"/>
  </w:num>
  <w:num w:numId="16" w16cid:durableId="104932971">
    <w:abstractNumId w:val="12"/>
  </w:num>
  <w:num w:numId="17" w16cid:durableId="2088073010">
    <w:abstractNumId w:val="13"/>
  </w:num>
  <w:num w:numId="18" w16cid:durableId="1726290240">
    <w:abstractNumId w:val="17"/>
  </w:num>
  <w:num w:numId="19" w16cid:durableId="1939605584">
    <w:abstractNumId w:val="18"/>
  </w:num>
  <w:num w:numId="20" w16cid:durableId="18302912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293"/>
    <w:rsid w:val="004F6293"/>
    <w:rsid w:val="006477AD"/>
    <w:rsid w:val="006C656F"/>
    <w:rsid w:val="00E72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0985"/>
  <w15:docId w15:val="{DA65C6D3-0AA0-489C-BBFF-88AD9220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Joseph Summerhayes</cp:lastModifiedBy>
  <cp:revision>2</cp:revision>
  <dcterms:created xsi:type="dcterms:W3CDTF">2024-01-25T10:01:00Z</dcterms:created>
  <dcterms:modified xsi:type="dcterms:W3CDTF">2024-01-25T10:01:00Z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